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4665" w:type="dxa"/>
        <w:tblLook w:val="04A0" w:firstRow="1" w:lastRow="0" w:firstColumn="1" w:lastColumn="0" w:noHBand="0" w:noVBand="1"/>
      </w:tblPr>
      <w:tblGrid>
        <w:gridCol w:w="2605"/>
        <w:gridCol w:w="6030"/>
        <w:gridCol w:w="2790"/>
        <w:gridCol w:w="3240"/>
      </w:tblGrid>
      <w:tr w:rsidR="003017DA" w:rsidTr="00301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5" w:type="dxa"/>
            <w:gridSpan w:val="4"/>
            <w:tcBorders>
              <w:bottom w:val="single" w:sz="4" w:space="0" w:color="auto"/>
            </w:tcBorders>
          </w:tcPr>
          <w:p w:rsidR="003017DA" w:rsidRPr="00E5382E" w:rsidRDefault="00C52FA4" w:rsidP="003017DA">
            <w:pPr>
              <w:ind w:right="-102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Pediatric</w:t>
            </w:r>
            <w:r w:rsidR="004710BA">
              <w:rPr>
                <w:sz w:val="22"/>
                <w:szCs w:val="22"/>
              </w:rPr>
              <w:t xml:space="preserve"> Practice Transfer</w:t>
            </w:r>
            <w:r w:rsidR="003017DA" w:rsidRPr="00E5382E">
              <w:rPr>
                <w:sz w:val="22"/>
                <w:szCs w:val="22"/>
              </w:rPr>
              <w:t xml:space="preserve"> of Care Quality Improvement Milestone Summ</w:t>
            </w:r>
            <w:r>
              <w:rPr>
                <w:sz w:val="22"/>
                <w:szCs w:val="22"/>
              </w:rPr>
              <w:t xml:space="preserve">ary </w:t>
            </w:r>
          </w:p>
        </w:tc>
      </w:tr>
      <w:tr w:rsidR="004C0EB6" w:rsidRPr="00AC407A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3017DA" w:rsidP="00861E8F">
            <w:r w:rsidRPr="00AC407A">
              <w:t xml:space="preserve">Component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3017DA" w:rsidP="0086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rPr>
                <w:b/>
              </w:rPr>
              <w:t xml:space="preserve">Deliverable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3017DA" w:rsidP="0086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rPr>
                <w:b/>
              </w:rPr>
              <w:t>Timeframe Due 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3017DA" w:rsidP="00E5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rPr>
                <w:b/>
              </w:rPr>
              <w:t xml:space="preserve">Notes </w:t>
            </w:r>
          </w:p>
        </w:tc>
      </w:tr>
      <w:tr w:rsidR="004C0EB6" w:rsidRPr="00AC407A" w:rsidTr="003017D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1862C9" w:rsidP="00861E8F">
            <w:pPr>
              <w:rPr>
                <w:b w:val="0"/>
              </w:rPr>
            </w:pPr>
            <w:r w:rsidRPr="00AC407A">
              <w:rPr>
                <w:b w:val="0"/>
              </w:rPr>
              <w:t>Form Health Care Transition Quality Improvement Team</w:t>
            </w:r>
            <w:r w:rsidR="00901C11" w:rsidRPr="00AC407A">
              <w:rPr>
                <w:b w:val="0"/>
              </w:rPr>
              <w:t xml:space="preserve"> and Confirm Connection with Adult Practice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F" w:rsidRPr="00AC407A" w:rsidRDefault="003017DA" w:rsidP="0052782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Identify members of the practice quality improvement (QI) team. The team should consist of 3 to 4 staff in different roles </w:t>
            </w:r>
            <w:r w:rsidR="00552E51" w:rsidRPr="00AC407A">
              <w:t>such as practice</w:t>
            </w:r>
            <w:r w:rsidRPr="00AC407A">
              <w:t xml:space="preserve"> clini</w:t>
            </w:r>
            <w:r w:rsidR="00552E51" w:rsidRPr="00AC407A">
              <w:t>cal champion,</w:t>
            </w:r>
            <w:r w:rsidRPr="00AC407A">
              <w:t xml:space="preserve"> nurse care manager</w:t>
            </w:r>
            <w:r w:rsidR="00552E51" w:rsidRPr="00AC407A">
              <w:t>/care coordinator</w:t>
            </w:r>
            <w:r w:rsidRPr="00AC407A">
              <w:t>, practice manager</w:t>
            </w:r>
            <w:r w:rsidR="00546DA3" w:rsidRPr="00AC407A">
              <w:t xml:space="preserve">, </w:t>
            </w:r>
            <w:r w:rsidR="00552E51" w:rsidRPr="00AC407A">
              <w:t xml:space="preserve">and/or IT representative if available. </w:t>
            </w:r>
            <w:r w:rsidR="001862C9" w:rsidRPr="00AC407A">
              <w:t xml:space="preserve"> </w:t>
            </w:r>
          </w:p>
          <w:p w:rsidR="003017DA" w:rsidRPr="00AC407A" w:rsidRDefault="0052782F" w:rsidP="0052782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407A">
              <w:t>E</w:t>
            </w:r>
            <w:r w:rsidR="001862C9" w:rsidRPr="00AC407A">
              <w:t xml:space="preserve">stablish connection with adult primary care practice who will be accepting </w:t>
            </w:r>
            <w:r w:rsidR="00636BB1">
              <w:t xml:space="preserve">5 </w:t>
            </w:r>
            <w:r w:rsidR="001862C9" w:rsidRPr="00AC407A">
              <w:t>transferring patients.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901C11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Describe</w:t>
            </w:r>
            <w:r w:rsidR="003017DA" w:rsidRPr="00AC407A">
              <w:t xml:space="preserve"> as part of application </w:t>
            </w:r>
          </w:p>
          <w:p w:rsidR="003017DA" w:rsidRPr="00AC407A" w:rsidRDefault="003017DA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3017DA" w:rsidP="003017DA">
            <w:pPr>
              <w:spacing w:after="160" w:line="259" w:lineRule="auto"/>
              <w:ind w:right="15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17DA" w:rsidRPr="00AC407A" w:rsidRDefault="003017DA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EB6" w:rsidRPr="00AC407A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BA" w:rsidRPr="00AC407A" w:rsidRDefault="00901C11" w:rsidP="00861E8F">
            <w:pPr>
              <w:rPr>
                <w:b w:val="0"/>
              </w:rPr>
            </w:pPr>
            <w:r w:rsidRPr="00AC407A">
              <w:rPr>
                <w:b w:val="0"/>
              </w:rPr>
              <w:t xml:space="preserve">Project Start-Up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F" w:rsidRPr="00432864" w:rsidRDefault="0029307D" w:rsidP="0052782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rPr>
                <w:bCs/>
              </w:rPr>
              <w:t>Participate in initial kick-off meeting with pediatric and adult awardees to review project plan</w:t>
            </w:r>
            <w:r w:rsidR="0052782F" w:rsidRPr="00AC407A">
              <w:rPr>
                <w:bCs/>
              </w:rPr>
              <w:t xml:space="preserve"> and </w:t>
            </w:r>
            <w:r w:rsidR="00027544" w:rsidRPr="00AC407A">
              <w:rPr>
                <w:bCs/>
              </w:rPr>
              <w:t>schedule regular monthly team meetings</w:t>
            </w:r>
            <w:r w:rsidR="00307566" w:rsidRPr="00AC407A">
              <w:rPr>
                <w:bCs/>
              </w:rPr>
              <w:t>.</w:t>
            </w:r>
          </w:p>
          <w:p w:rsidR="004710BA" w:rsidRPr="00AC407A" w:rsidRDefault="00F53BD2" w:rsidP="0052782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2864">
              <w:rPr>
                <w:b/>
                <w:bCs/>
              </w:rPr>
              <w:t>Pediatric practice</w:t>
            </w:r>
            <w:r w:rsidR="007D4FFC">
              <w:rPr>
                <w:b/>
                <w:bCs/>
              </w:rPr>
              <w:t xml:space="preserve"> team</w:t>
            </w:r>
            <w:r w:rsidRPr="00432864">
              <w:rPr>
                <w:b/>
                <w:bCs/>
              </w:rPr>
              <w:t xml:space="preserve"> c</w:t>
            </w:r>
            <w:r w:rsidR="0029307D" w:rsidRPr="00432864">
              <w:rPr>
                <w:b/>
                <w:bCs/>
              </w:rPr>
              <w:t>omplete</w:t>
            </w:r>
            <w:r w:rsidR="00546DA3" w:rsidRPr="00432864">
              <w:rPr>
                <w:b/>
                <w:bCs/>
              </w:rPr>
              <w:t>s</w:t>
            </w:r>
            <w:r w:rsidR="0029307D" w:rsidRPr="00432864">
              <w:rPr>
                <w:b/>
                <w:bCs/>
              </w:rPr>
              <w:t xml:space="preserve"> Got Transition’s Current Assessment of HCT Activities</w:t>
            </w:r>
            <w:r w:rsidR="00432864" w:rsidRPr="00432864">
              <w:rPr>
                <w:b/>
                <w:bCs/>
              </w:rPr>
              <w:t xml:space="preserve"> prior to kick off meeting (due May 7, 2021)</w:t>
            </w:r>
            <w:r w:rsidR="00432864">
              <w:rPr>
                <w:bCs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BA" w:rsidRPr="00AC407A" w:rsidRDefault="0029307D" w:rsidP="0031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>Month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FE" w:rsidRPr="00AC407A" w:rsidRDefault="00AC31FE" w:rsidP="007339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>Got Transition, with RI Team, will offer kick-off training.</w:t>
            </w:r>
          </w:p>
          <w:p w:rsidR="00733969" w:rsidRPr="00AC407A" w:rsidRDefault="00EC52FA" w:rsidP="007339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29307D" w:rsidRPr="00C30F52">
                <w:rPr>
                  <w:rStyle w:val="Hyperlink"/>
                </w:rPr>
                <w:t>Current Assessment of HCT Activities</w:t>
              </w:r>
            </w:hyperlink>
            <w:r w:rsidR="0029307D" w:rsidRPr="00AC407A">
              <w:t xml:space="preserve"> </w:t>
            </w:r>
          </w:p>
          <w:p w:rsidR="00733969" w:rsidRPr="00AC407A" w:rsidRDefault="00733969" w:rsidP="007339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EB6" w:rsidRPr="00AC407A" w:rsidTr="00F52FAD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6B2B46" w:rsidP="00861E8F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t>Identify and Invite Potential Eligible Patients Ready to Transfer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F" w:rsidRPr="00AC407A" w:rsidRDefault="0052782F" w:rsidP="0052782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Identify </w:t>
            </w:r>
            <w:r w:rsidR="006B2B46" w:rsidRPr="00AC407A">
              <w:t>5 youth/young adults with and/or without special health needs interested in transferring to participating adult practice.</w:t>
            </w:r>
          </w:p>
          <w:p w:rsidR="004710BA" w:rsidRPr="00AC407A" w:rsidRDefault="006B2B46" w:rsidP="0052782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Invite pilot group, explaining time frame and added transition assistance </w:t>
            </w:r>
            <w:r w:rsidR="00571219" w:rsidRPr="00AC407A">
              <w:t xml:space="preserve">to </w:t>
            </w:r>
            <w:r w:rsidRPr="00AC407A">
              <w:t>be provided (eg, medical summary, communication between pediatric/adult doctors</w:t>
            </w:r>
            <w:r w:rsidR="008F1264" w:rsidRPr="00AC407A">
              <w:t>, and facilitated integration into adult care)</w:t>
            </w:r>
            <w:r w:rsidR="00307566" w:rsidRPr="00AC407A">
              <w:t>.</w:t>
            </w:r>
            <w:r w:rsidR="002B4FAB">
              <w:t xml:space="preserve"> SEE sample medical summary form</w:t>
            </w:r>
          </w:p>
          <w:p w:rsidR="008F1264" w:rsidRPr="00AC407A" w:rsidRDefault="008F1264" w:rsidP="0052782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Create a simple tracking sheet </w:t>
            </w:r>
            <w:r w:rsidR="00A570AE" w:rsidRPr="00AC407A">
              <w:t xml:space="preserve">(registry) </w:t>
            </w:r>
            <w:r w:rsidRPr="00AC407A">
              <w:t>to monitor pilot group’s receipt of last pediatric visit, joint</w:t>
            </w:r>
            <w:r w:rsidR="001D12F7" w:rsidRPr="00AC407A">
              <w:t xml:space="preserve"> communication/telehealth call</w:t>
            </w:r>
            <w:r w:rsidRPr="00AC407A">
              <w:t xml:space="preserve">, and initial adult </w:t>
            </w:r>
            <w:r w:rsidR="00C60328" w:rsidRPr="00AC407A">
              <w:t xml:space="preserve">PCP </w:t>
            </w:r>
            <w:r w:rsidRPr="00AC407A">
              <w:t>visit</w:t>
            </w:r>
            <w:r w:rsidR="00AC31FE" w:rsidRPr="00AC407A">
              <w:t xml:space="preserve"> and receipt of core elements 4,5, and 6.</w:t>
            </w:r>
          </w:p>
          <w:p w:rsidR="00AF13B4" w:rsidRPr="00AC407A" w:rsidRDefault="00AF13B4" w:rsidP="0052782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Share progress in monthly QI meeting.</w:t>
            </w:r>
            <w:r w:rsidR="002B4FAB">
              <w:t xml:space="preserve"> SEE sample  registry  form)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027544" w:rsidP="00027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Months 1-</w:t>
            </w:r>
            <w:r w:rsidR="006B2B46" w:rsidRPr="00AC407A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8F1264" w:rsidP="00F52FA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The time frame to accomplish the transfer is brief.  In months, 5-7, the last pediatric visit with each patient will be completed. A joint </w:t>
            </w:r>
            <w:r w:rsidR="00AC31FE" w:rsidRPr="00AC407A">
              <w:t>communication/</w:t>
            </w:r>
            <w:r w:rsidRPr="00AC407A">
              <w:t>telehealth visit between sending and receiving PCPs with transferring patient will happen before the initial adult visit, which will start in months</w:t>
            </w:r>
            <w:r w:rsidR="00AC31FE" w:rsidRPr="00AC407A">
              <w:t xml:space="preserve"> 8</w:t>
            </w:r>
            <w:r w:rsidRPr="00AC407A">
              <w:t xml:space="preserve">-11.  </w:t>
            </w:r>
          </w:p>
        </w:tc>
      </w:tr>
      <w:tr w:rsidR="004C0EB6" w:rsidRPr="00AC407A" w:rsidTr="001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6B2B46" w:rsidP="00861E8F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t>Develop Transfer of Care Improvement Plan</w:t>
            </w:r>
            <w:r w:rsidR="00503E57" w:rsidRPr="00AC407A">
              <w:rPr>
                <w:b w:val="0"/>
                <w:bCs w:val="0"/>
              </w:rPr>
              <w:t xml:space="preserve"> for Transferring Patients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4" w:rsidRPr="00AC407A" w:rsidRDefault="00571219" w:rsidP="00DC2E5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>Review</w:t>
            </w:r>
            <w:r w:rsidR="006B2B46" w:rsidRPr="00AC407A">
              <w:t xml:space="preserve"> </w:t>
            </w:r>
            <w:r w:rsidRPr="00AC407A">
              <w:t xml:space="preserve">and customize the </w:t>
            </w:r>
            <w:r w:rsidR="00C60328" w:rsidRPr="00AC407A">
              <w:t>T</w:t>
            </w:r>
            <w:r w:rsidRPr="00AC407A">
              <w:t xml:space="preserve">ransfer of </w:t>
            </w:r>
            <w:r w:rsidR="00C60328" w:rsidRPr="00AC407A">
              <w:t>C</w:t>
            </w:r>
            <w:r w:rsidRPr="00AC407A">
              <w:t xml:space="preserve">are </w:t>
            </w:r>
            <w:r w:rsidR="00C60328" w:rsidRPr="00AC407A">
              <w:t>I</w:t>
            </w:r>
            <w:r w:rsidR="00547650" w:rsidRPr="00AC407A">
              <w:t xml:space="preserve">mprovement </w:t>
            </w:r>
            <w:r w:rsidR="00C60328" w:rsidRPr="00AC407A">
              <w:t>P</w:t>
            </w:r>
            <w:r w:rsidR="00547650" w:rsidRPr="00AC407A">
              <w:t>lan to be used for the 5 transferring patients,</w:t>
            </w:r>
            <w:r w:rsidR="006B2B46" w:rsidRPr="00AC407A">
              <w:t xml:space="preserve"> </w:t>
            </w:r>
            <w:r w:rsidRPr="00AC407A">
              <w:t>drawing on</w:t>
            </w:r>
            <w:r w:rsidR="006B2B46" w:rsidRPr="00AC407A">
              <w:t xml:space="preserve"> Got Transition’s Six Core Elements</w:t>
            </w:r>
            <w:r w:rsidR="00547650" w:rsidRPr="00AC407A">
              <w:t>.</w:t>
            </w:r>
          </w:p>
          <w:p w:rsidR="003017DA" w:rsidRPr="00AC407A" w:rsidRDefault="004D0CC4" w:rsidP="007339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>U</w:t>
            </w:r>
            <w:r w:rsidR="00DC2E5E" w:rsidRPr="00AC407A">
              <w:t>s</w:t>
            </w:r>
            <w:r w:rsidRPr="00AC407A">
              <w:t>e</w:t>
            </w:r>
            <w:r w:rsidR="00DC2E5E" w:rsidRPr="00AC407A">
              <w:t xml:space="preserve"> Plan-Do-Study-Act (PDSA) cycles</w:t>
            </w:r>
            <w:r w:rsidRPr="00AC407A">
              <w:t xml:space="preserve"> for </w:t>
            </w:r>
            <w:r w:rsidR="002E55FF" w:rsidRPr="00AC407A">
              <w:t>Core Elements 4, 5, and 6</w:t>
            </w:r>
            <w:r w:rsidRPr="00AC407A">
              <w:t>, summarized in greater detail below</w:t>
            </w:r>
            <w:r w:rsidR="00307566" w:rsidRPr="00AC407A">
              <w:t>.</w:t>
            </w:r>
          </w:p>
          <w:p w:rsidR="00AF13B4" w:rsidRPr="00AC407A" w:rsidRDefault="00AF13B4" w:rsidP="007339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407A"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AC407A" w:rsidRDefault="00503E57" w:rsidP="00F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 xml:space="preserve">Months </w:t>
            </w:r>
            <w:r w:rsidR="008A73B9" w:rsidRPr="00AC407A">
              <w:t>1-4</w:t>
            </w:r>
          </w:p>
          <w:p w:rsidR="00E31BC7" w:rsidRPr="00AC407A" w:rsidRDefault="00E31BC7" w:rsidP="00F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C30F52" w:rsidRDefault="00571219" w:rsidP="008F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F52">
              <w:t xml:space="preserve">Core Element 4- </w:t>
            </w:r>
            <w:hyperlink r:id="rId9" w:history="1">
              <w:r w:rsidRPr="00C30F52">
                <w:rPr>
                  <w:rStyle w:val="Hyperlink"/>
                </w:rPr>
                <w:t>Transition Planning</w:t>
              </w:r>
            </w:hyperlink>
            <w:r w:rsidR="00DC2E5E" w:rsidRPr="00C30F52">
              <w:t xml:space="preserve"> </w:t>
            </w:r>
          </w:p>
          <w:p w:rsidR="00571219" w:rsidRPr="00C30F52" w:rsidRDefault="00571219" w:rsidP="008F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F52">
              <w:t xml:space="preserve">Core Element 5- </w:t>
            </w:r>
            <w:hyperlink r:id="rId10" w:history="1">
              <w:r w:rsidRPr="00C30F52">
                <w:rPr>
                  <w:rStyle w:val="Hyperlink"/>
                </w:rPr>
                <w:t>Transfer of Care</w:t>
              </w:r>
            </w:hyperlink>
          </w:p>
          <w:p w:rsidR="00571219" w:rsidRPr="00AC407A" w:rsidRDefault="00571219" w:rsidP="008F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F52">
              <w:t xml:space="preserve">Core Element 6 – </w:t>
            </w:r>
            <w:hyperlink r:id="rId11" w:history="1">
              <w:r w:rsidRPr="00C30F52">
                <w:rPr>
                  <w:rStyle w:val="Hyperlink"/>
                </w:rPr>
                <w:t>Transfer Completion</w:t>
              </w:r>
            </w:hyperlink>
            <w:r w:rsidRPr="00AC407A">
              <w:t xml:space="preserve"> </w:t>
            </w:r>
          </w:p>
        </w:tc>
      </w:tr>
      <w:tr w:rsidR="004C0EB6" w:rsidRPr="00AC407A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503E57" w:rsidP="00503E57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t>Develop Content and Process for Transition Planning (Core Element 4), with PDSA Cycle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AC407A" w:rsidRDefault="00503E57" w:rsidP="007809C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 xml:space="preserve">Customize content and process for </w:t>
            </w:r>
            <w:r w:rsidR="00FB5D95" w:rsidRPr="00AC407A">
              <w:t>T</w:t>
            </w:r>
            <w:r w:rsidRPr="00AC407A">
              <w:t xml:space="preserve">ransition </w:t>
            </w:r>
            <w:r w:rsidR="00FB5D95" w:rsidRPr="00AC407A">
              <w:t>P</w:t>
            </w:r>
            <w:r w:rsidRPr="00AC407A">
              <w:t>lanning (</w:t>
            </w:r>
            <w:r w:rsidR="00A65A1A" w:rsidRPr="00AC407A">
              <w:t xml:space="preserve">Core Element </w:t>
            </w:r>
            <w:r w:rsidRPr="00AC407A">
              <w:t>4)</w:t>
            </w:r>
            <w:r w:rsidR="007809C2" w:rsidRPr="00AC407A">
              <w:t xml:space="preserve">, including preparation of medical summary to be shared with transferring patient and adult PCP and </w:t>
            </w:r>
            <w:r w:rsidR="00824B4C" w:rsidRPr="00AC407A">
              <w:t xml:space="preserve">discussion with patient about </w:t>
            </w:r>
            <w:r w:rsidR="007809C2" w:rsidRPr="00AC407A">
              <w:t>plans for timing of transfer to adult care</w:t>
            </w:r>
            <w:r w:rsidR="00890DAE" w:rsidRPr="00AC407A">
              <w:t xml:space="preserve"> and changes in privacy at age 18.</w:t>
            </w:r>
            <w:r w:rsidR="002B4FAB">
              <w:t xml:space="preserve"> SEE sample check list </w:t>
            </w:r>
          </w:p>
          <w:p w:rsidR="00503E57" w:rsidRPr="00AC407A" w:rsidRDefault="007809C2" w:rsidP="00503E57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 xml:space="preserve">Complete </w:t>
            </w:r>
            <w:r w:rsidR="00824B4C" w:rsidRPr="00AC407A">
              <w:t xml:space="preserve">a </w:t>
            </w:r>
            <w:r w:rsidR="00503E57" w:rsidRPr="00AC407A">
              <w:t>PD</w:t>
            </w:r>
            <w:r w:rsidR="00824B4C" w:rsidRPr="00AC407A">
              <w:t>SA on customized content and process</w:t>
            </w:r>
            <w:r w:rsidR="005578EF" w:rsidRPr="00AC407A">
              <w:t xml:space="preserve"> for Core Element #4</w:t>
            </w:r>
            <w:r w:rsidR="00E81185" w:rsidRPr="00AC407A">
              <w:t>.</w:t>
            </w:r>
          </w:p>
          <w:p w:rsidR="00824B4C" w:rsidRPr="00AC407A" w:rsidRDefault="00824B4C" w:rsidP="00503E57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>Share approach at monthly QI meeting</w:t>
            </w:r>
            <w:r w:rsidR="003466CB" w:rsidRPr="00AC407A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Month 2 </w:t>
            </w:r>
          </w:p>
          <w:p w:rsidR="00503E57" w:rsidRPr="00AC407A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C30F52" w:rsidRDefault="00EC52FA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12" w:history="1">
              <w:r w:rsidR="00824B4C" w:rsidRPr="00C30F52">
                <w:rPr>
                  <w:rStyle w:val="Hyperlink"/>
                  <w:bCs/>
                </w:rPr>
                <w:t>Six Core Elements Implementation Guide for Transition Planning</w:t>
              </w:r>
            </w:hyperlink>
            <w:r w:rsidR="00824B4C" w:rsidRPr="00C30F52">
              <w:rPr>
                <w:bCs/>
              </w:rPr>
              <w:t xml:space="preserve"> </w:t>
            </w:r>
          </w:p>
          <w:p w:rsidR="00C30F52" w:rsidRDefault="00C30F52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890DAE" w:rsidRPr="00612818" w:rsidRDefault="00EC52FA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hyperlink r:id="rId13" w:history="1">
              <w:r w:rsidR="00890DAE" w:rsidRPr="00C30F52">
                <w:rPr>
                  <w:rStyle w:val="Hyperlink"/>
                  <w:bCs/>
                </w:rPr>
                <w:t>Turning 18: What It Means for Your Health</w:t>
              </w:r>
            </w:hyperlink>
            <w:r w:rsidR="00890DAE" w:rsidRPr="00C30F52">
              <w:rPr>
                <w:bCs/>
              </w:rPr>
              <w:t xml:space="preserve"> </w:t>
            </w:r>
          </w:p>
        </w:tc>
      </w:tr>
      <w:tr w:rsidR="004C0EB6" w:rsidRPr="00AC407A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890DAE" w:rsidP="00503E57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t>Develop Content and Process for Transfer of Care (Core Element 5), with PDSA Cycle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D" w:rsidRPr="00AC407A" w:rsidRDefault="009B348D" w:rsidP="009B348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 xml:space="preserve">Customize content and process for </w:t>
            </w:r>
            <w:r w:rsidR="00FB5D95" w:rsidRPr="00AC407A">
              <w:t>T</w:t>
            </w:r>
            <w:r w:rsidRPr="00AC407A">
              <w:t xml:space="preserve">ransfer of </w:t>
            </w:r>
            <w:r w:rsidR="00FB5D95" w:rsidRPr="00AC407A">
              <w:t>C</w:t>
            </w:r>
            <w:r w:rsidRPr="00AC407A">
              <w:t>are (</w:t>
            </w:r>
            <w:r w:rsidR="00A65A1A" w:rsidRPr="00AC407A">
              <w:t>Core E</w:t>
            </w:r>
            <w:r w:rsidRPr="00AC407A">
              <w:t xml:space="preserve">lement 5), </w:t>
            </w:r>
            <w:r w:rsidR="00E81185" w:rsidRPr="00AC407A">
              <w:t>deciding on</w:t>
            </w:r>
            <w:r w:rsidRPr="00AC407A">
              <w:t xml:space="preserve"> </w:t>
            </w:r>
            <w:r w:rsidR="001C3196" w:rsidRPr="00AC407A">
              <w:t xml:space="preserve">what should be included in the </w:t>
            </w:r>
            <w:r w:rsidRPr="00AC407A">
              <w:t>transfer package</w:t>
            </w:r>
            <w:r w:rsidR="001258A6" w:rsidRPr="00AC407A">
              <w:t xml:space="preserve"> and working with adult PCP about content </w:t>
            </w:r>
            <w:r w:rsidR="00161631" w:rsidRPr="00AC407A">
              <w:t xml:space="preserve">for </w:t>
            </w:r>
            <w:r w:rsidR="009E0F6B">
              <w:t xml:space="preserve">joint </w:t>
            </w:r>
            <w:r w:rsidR="00161631" w:rsidRPr="00AC407A">
              <w:lastRenderedPageBreak/>
              <w:t xml:space="preserve">communication/telehealth </w:t>
            </w:r>
            <w:r w:rsidR="001258A6" w:rsidRPr="00AC407A">
              <w:t xml:space="preserve">call </w:t>
            </w:r>
            <w:r w:rsidR="002C560D" w:rsidRPr="00AC407A">
              <w:t xml:space="preserve">with pediatric and adult PCP and </w:t>
            </w:r>
            <w:r w:rsidR="00161631" w:rsidRPr="00AC407A">
              <w:t>transferring patient</w:t>
            </w:r>
            <w:r w:rsidR="003466CB" w:rsidRPr="00AC407A">
              <w:t>.</w:t>
            </w:r>
          </w:p>
          <w:p w:rsidR="00161631" w:rsidRPr="00AC407A" w:rsidRDefault="00161631" w:rsidP="009B348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 xml:space="preserve">Decide on residual role of pediatric </w:t>
            </w:r>
            <w:r w:rsidR="003466CB" w:rsidRPr="00AC407A">
              <w:t xml:space="preserve">PCP </w:t>
            </w:r>
            <w:r w:rsidRPr="00AC407A">
              <w:t>before initial adult visit (eg, refills, taking care of acute needs)</w:t>
            </w:r>
            <w:r w:rsidR="003466CB" w:rsidRPr="00AC407A">
              <w:t>.</w:t>
            </w:r>
          </w:p>
          <w:p w:rsidR="009B348D" w:rsidRPr="00AC407A" w:rsidRDefault="009B348D" w:rsidP="009B348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>Complete a PDSA on customized content and process</w:t>
            </w:r>
            <w:r w:rsidR="005578EF" w:rsidRPr="00AC407A">
              <w:t xml:space="preserve"> for Core Element #5.</w:t>
            </w:r>
          </w:p>
          <w:p w:rsidR="00503E57" w:rsidRPr="00AC407A" w:rsidRDefault="00E81185" w:rsidP="00E8118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rPr>
                <w:b/>
                <w:bCs/>
              </w:rPr>
              <w:t>S</w:t>
            </w:r>
            <w:r w:rsidR="009B348D" w:rsidRPr="00AC407A">
              <w:t>hare approach at monthly QI meeting</w:t>
            </w:r>
            <w:r w:rsidR="003466CB" w:rsidRPr="00AC407A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503E57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lastRenderedPageBreak/>
              <w:t xml:space="preserve">Month 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EC52FA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E81185" w:rsidRPr="00C30F52">
                <w:rPr>
                  <w:rStyle w:val="Hyperlink"/>
                </w:rPr>
                <w:t>Six Core Elements Implementation Guide for Transfer of Care</w:t>
              </w:r>
            </w:hyperlink>
            <w:r w:rsidR="00E81185" w:rsidRPr="00AC407A">
              <w:t xml:space="preserve"> </w:t>
            </w:r>
          </w:p>
          <w:p w:rsidR="00C30F52" w:rsidRDefault="00C30F52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1185" w:rsidRPr="00AC407A" w:rsidRDefault="00EC52FA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E81185" w:rsidRPr="00C30F52">
                <w:rPr>
                  <w:rStyle w:val="Hyperlink"/>
                </w:rPr>
                <w:t>Transition Readiness Assessment</w:t>
              </w:r>
            </w:hyperlink>
            <w:r w:rsidR="00CE6F79">
              <w:rPr>
                <w:rStyle w:val="Hyperlink"/>
              </w:rPr>
              <w:t xml:space="preserve">  </w:t>
            </w:r>
            <w:r w:rsidR="00CE6F79" w:rsidRPr="00CE6F79">
              <w:rPr>
                <w:rStyle w:val="Hyperlink"/>
              </w:rPr>
              <w:t>(not required, for reference only)</w:t>
            </w:r>
          </w:p>
          <w:p w:rsidR="00C30F52" w:rsidRDefault="00C30F52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25E9" w:rsidRPr="00AC407A" w:rsidRDefault="001B2123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 xml:space="preserve">Sample </w:t>
            </w:r>
            <w:r w:rsidR="00161631" w:rsidRPr="00AC407A">
              <w:t xml:space="preserve">Joint Telehealth Visit Script </w:t>
            </w:r>
            <w:r w:rsidR="00612818" w:rsidRPr="00612818">
              <w:rPr>
                <w:i/>
                <w:iCs/>
              </w:rPr>
              <w:t>(to be sent</w:t>
            </w:r>
            <w:r w:rsidR="00612818">
              <w:rPr>
                <w:i/>
                <w:iCs/>
              </w:rPr>
              <w:t xml:space="preserve"> when finalized)</w:t>
            </w:r>
          </w:p>
        </w:tc>
      </w:tr>
      <w:tr w:rsidR="004C0EB6" w:rsidRPr="00AC407A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1B2123" w:rsidP="00503E57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lastRenderedPageBreak/>
              <w:t>Develop Content and Process for Transfer Completion (Core Element 6), with PDSA Cycle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3" w:rsidRPr="00AC407A" w:rsidRDefault="001B2123" w:rsidP="001B212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 xml:space="preserve">Customize content and process for </w:t>
            </w:r>
            <w:r w:rsidR="00AD447F" w:rsidRPr="00AC407A">
              <w:t>T</w:t>
            </w:r>
            <w:r w:rsidRPr="00AC407A">
              <w:t xml:space="preserve">ransfer </w:t>
            </w:r>
            <w:r w:rsidR="00AD447F" w:rsidRPr="00AC407A">
              <w:t>C</w:t>
            </w:r>
            <w:r w:rsidRPr="00AC407A">
              <w:t>ompletion (</w:t>
            </w:r>
            <w:r w:rsidR="00B71943" w:rsidRPr="00AC407A">
              <w:t>C</w:t>
            </w:r>
            <w:r w:rsidR="00A65A1A" w:rsidRPr="00AC407A">
              <w:t>ore E</w:t>
            </w:r>
            <w:r w:rsidRPr="00AC407A">
              <w:t xml:space="preserve">lement 6), including plan for confirming completion of initial adult visit, </w:t>
            </w:r>
            <w:r w:rsidR="0029605A" w:rsidRPr="00AC407A">
              <w:t xml:space="preserve">offering time-limited consultation to adult </w:t>
            </w:r>
            <w:r w:rsidR="00232C73" w:rsidRPr="00AC407A">
              <w:t xml:space="preserve">PCP </w:t>
            </w:r>
            <w:r w:rsidR="0029605A" w:rsidRPr="00AC407A">
              <w:t>(if needed).</w:t>
            </w:r>
          </w:p>
          <w:p w:rsidR="001B2123" w:rsidRPr="00AC407A" w:rsidRDefault="001B2123" w:rsidP="001B212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407A">
              <w:t>Complete a PDSA on customized content and process</w:t>
            </w:r>
            <w:r w:rsidR="005578EF" w:rsidRPr="00AC407A">
              <w:t xml:space="preserve"> for Core Element #6.</w:t>
            </w:r>
          </w:p>
          <w:p w:rsidR="00503E57" w:rsidRPr="00AC407A" w:rsidRDefault="0029605A" w:rsidP="00296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rPr>
                <w:b/>
                <w:bCs/>
              </w:rPr>
              <w:t>S</w:t>
            </w:r>
            <w:r w:rsidR="001B2123" w:rsidRPr="00AC407A">
              <w:t>hare approach at monthly QI meeting</w:t>
            </w:r>
            <w:r w:rsidR="00232C73" w:rsidRPr="00AC407A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C30F52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F52">
              <w:t xml:space="preserve">Month 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C30F52" w:rsidRDefault="00EC52FA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1B2123" w:rsidRPr="00C30F52">
                <w:rPr>
                  <w:rStyle w:val="Hyperlink"/>
                </w:rPr>
                <w:t>Six Core Elements Implementation Guide for Transfer Completion</w:t>
              </w:r>
            </w:hyperlink>
            <w:r w:rsidR="001B2123" w:rsidRPr="00C30F52">
              <w:t xml:space="preserve"> </w:t>
            </w:r>
          </w:p>
          <w:p w:rsidR="0029605A" w:rsidRPr="00C30F52" w:rsidRDefault="0029605A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864" w:rsidRPr="00AC407A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4" w:rsidRPr="00AC407A" w:rsidRDefault="00432864" w:rsidP="00503E57">
            <w:r>
              <w:t xml:space="preserve">Learning Collaborative Joint Meeting*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4" w:rsidRPr="00AC407A" w:rsidRDefault="00432864" w:rsidP="0043286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Collaborative Meeting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4" w:rsidRPr="00AC407A" w:rsidRDefault="00432864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Month 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64" w:rsidRPr="00AC407A" w:rsidRDefault="00432864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EB6" w:rsidRPr="00AC407A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29605A" w:rsidP="00503E57">
            <w:r w:rsidRPr="00AC407A">
              <w:rPr>
                <w:b w:val="0"/>
                <w:bCs w:val="0"/>
              </w:rPr>
              <w:t xml:space="preserve">Start </w:t>
            </w:r>
            <w:r w:rsidR="008D7E4D" w:rsidRPr="00AC407A">
              <w:rPr>
                <w:b w:val="0"/>
                <w:bCs w:val="0"/>
              </w:rPr>
              <w:t>HCT Transfer Pilot with</w:t>
            </w:r>
          </w:p>
          <w:p w:rsidR="008D7E4D" w:rsidRPr="00AC407A" w:rsidRDefault="008D7E4D" w:rsidP="00503E57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t>5 Pediatric Patients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733969" w:rsidP="0073396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Schedule </w:t>
            </w:r>
            <w:r w:rsidR="000C3C78" w:rsidRPr="00AC407A">
              <w:t xml:space="preserve">and </w:t>
            </w:r>
            <w:r w:rsidR="00E74252" w:rsidRPr="00AC407A">
              <w:t xml:space="preserve">complete </w:t>
            </w:r>
            <w:r w:rsidRPr="00AC407A">
              <w:t>final pediatric visits</w:t>
            </w:r>
            <w:r w:rsidR="00232C73" w:rsidRPr="00AC407A">
              <w:t>.</w:t>
            </w:r>
          </w:p>
          <w:p w:rsidR="00733969" w:rsidRPr="00AC407A" w:rsidRDefault="00733969" w:rsidP="0073396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Following final pediatric visits, complete transfer package and share with patient and adult PCP</w:t>
            </w:r>
            <w:r w:rsidR="00232C73" w:rsidRPr="00AC407A">
              <w:t>.</w:t>
            </w:r>
          </w:p>
          <w:p w:rsidR="00435F99" w:rsidRPr="00AC407A" w:rsidRDefault="00435F99" w:rsidP="00AA741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Share progress in monthly QI meeting.</w:t>
            </w:r>
            <w:r w:rsidR="00EB7031">
              <w:t xml:space="preserve"> (SAMPLE New </w:t>
            </w:r>
            <w:bookmarkStart w:id="0" w:name="_GoBack"/>
            <w:bookmarkEnd w:id="0"/>
            <w:r w:rsidR="002B4FAB">
              <w:t xml:space="preserve">telehealth </w:t>
            </w:r>
            <w:r w:rsidR="00EB7031">
              <w:t xml:space="preserve">tool kit)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Month</w:t>
            </w:r>
            <w:r w:rsidR="00733969" w:rsidRPr="00AC407A">
              <w:t>s</w:t>
            </w:r>
            <w:r w:rsidRPr="00AC407A">
              <w:t xml:space="preserve"> 5</w:t>
            </w:r>
            <w:r w:rsidR="00733969" w:rsidRPr="00AC407A">
              <w:t>-</w:t>
            </w:r>
            <w:r w:rsidR="00F7176D" w:rsidRPr="00AC407A"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503E57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EB6" w:rsidRPr="00AC407A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B" w:rsidRPr="00B16954" w:rsidRDefault="00B16954" w:rsidP="00503E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Schedule Joint Communication/Telehealth  Call for </w:t>
            </w:r>
            <w:r w:rsidR="00810BC4">
              <w:rPr>
                <w:b w:val="0"/>
                <w:bCs w:val="0"/>
              </w:rPr>
              <w:t xml:space="preserve">Each </w:t>
            </w:r>
            <w:r>
              <w:rPr>
                <w:b w:val="0"/>
                <w:bCs w:val="0"/>
              </w:rPr>
              <w:t>Transferring Patient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B" w:rsidRDefault="00810BC4" w:rsidP="0073396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with adult practice and patient to schedule a joint communication/telehealth call following las pediatric visit and initial adult visit.</w:t>
            </w:r>
          </w:p>
          <w:p w:rsidR="00810BC4" w:rsidRPr="00AC407A" w:rsidRDefault="005B1665" w:rsidP="0073396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B" w:rsidRPr="00AC407A" w:rsidRDefault="00B7432B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Months 6-8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B" w:rsidRPr="00AC407A" w:rsidRDefault="009E0F6B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EB6" w:rsidRPr="00AC407A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4C0EB6" w:rsidP="00503E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(Adult PCPs) </w:t>
            </w:r>
            <w:r w:rsidR="005B224C">
              <w:rPr>
                <w:b w:val="0"/>
                <w:bCs w:val="0"/>
              </w:rPr>
              <w:t>Start Integration into Adult Care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3" w:rsidRPr="00AC407A" w:rsidRDefault="006D5EC3" w:rsidP="00AF55D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Schedule and complete </w:t>
            </w:r>
            <w:r w:rsidR="006277D0" w:rsidRPr="00AC407A">
              <w:t>initial adult visits</w:t>
            </w:r>
            <w:r w:rsidRPr="00AC407A">
              <w:t>.</w:t>
            </w:r>
          </w:p>
          <w:p w:rsidR="00F03462" w:rsidRPr="00AC407A" w:rsidRDefault="00440C57" w:rsidP="00AF55D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 xml:space="preserve">Per transfer of care </w:t>
            </w:r>
            <w:r w:rsidR="00732203" w:rsidRPr="00AC407A">
              <w:t>process, c</w:t>
            </w:r>
            <w:r w:rsidR="00B71D4A" w:rsidRPr="00AC407A">
              <w:t>ommunicate</w:t>
            </w:r>
            <w:r w:rsidRPr="00AC407A">
              <w:t xml:space="preserve"> </w:t>
            </w:r>
            <w:r w:rsidR="00B71D4A" w:rsidRPr="00AC407A">
              <w:t xml:space="preserve">with adult practice to confirm initial appointment made. </w:t>
            </w:r>
          </w:p>
          <w:p w:rsidR="00435F99" w:rsidRPr="00AC407A" w:rsidRDefault="00F03462" w:rsidP="00B71D4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Communicate with adult practice to c</w:t>
            </w:r>
            <w:r w:rsidR="005C1C3C" w:rsidRPr="00AC407A">
              <w:t>onfirm completion of HCT Feedback Survey by you</w:t>
            </w:r>
            <w:r w:rsidR="0065228F" w:rsidRPr="00AC407A">
              <w:t>ng adult, following the initial adult visit.</w:t>
            </w:r>
          </w:p>
          <w:p w:rsidR="00BE0CDB" w:rsidRPr="00AC407A" w:rsidRDefault="00435F9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07A">
              <w:t>Share progress in monthly QI meeting.</w:t>
            </w:r>
            <w:r w:rsidR="0065228F" w:rsidRPr="00AC407A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C30F52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F52">
              <w:t>Month</w:t>
            </w:r>
            <w:r w:rsidR="004D35B3" w:rsidRPr="00C30F52">
              <w:t>s 8-11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3E" w:rsidRPr="00C30F52" w:rsidRDefault="00EC52FA" w:rsidP="00652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32646C" w:rsidRPr="00C30F52">
                <w:rPr>
                  <w:rStyle w:val="Hyperlink"/>
                </w:rPr>
                <w:t>Young Adult HCT Feedback Survey</w:t>
              </w:r>
            </w:hyperlink>
          </w:p>
        </w:tc>
      </w:tr>
      <w:tr w:rsidR="004C0EB6" w:rsidRPr="00AC407A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A155CB" w:rsidP="00503E57">
            <w:pPr>
              <w:rPr>
                <w:b w:val="0"/>
                <w:bCs w:val="0"/>
              </w:rPr>
            </w:pPr>
            <w:r w:rsidRPr="00AC407A">
              <w:rPr>
                <w:b w:val="0"/>
                <w:bCs w:val="0"/>
              </w:rPr>
              <w:t xml:space="preserve">Final Transfer of Care Improvement Collaborative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A155CB" w:rsidP="00A155C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C407A">
              <w:t xml:space="preserve">Complete Current Assessment of HCT Activities, allowing for analysis of pre/post improvement in </w:t>
            </w:r>
            <w:r w:rsidR="00D5437C" w:rsidRPr="00AC407A">
              <w:t>Core Elements 4, 5, and 6.</w:t>
            </w:r>
          </w:p>
          <w:p w:rsidR="00A155CB" w:rsidRPr="00AC407A" w:rsidRDefault="00A155CB" w:rsidP="00A155C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C407A">
              <w:t>Review lessons learned and plans for sustainability and spread</w:t>
            </w:r>
            <w:r w:rsidR="00D5437C" w:rsidRPr="00AC407A">
              <w:t>.</w:t>
            </w:r>
          </w:p>
          <w:p w:rsidR="00435F99" w:rsidRPr="00CA756B" w:rsidRDefault="00435F99" w:rsidP="00A155C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56B"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503E57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07A">
              <w:t xml:space="preserve">Month 12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AC407A" w:rsidRDefault="00EC52FA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A155CB" w:rsidRPr="00C30F52">
                <w:rPr>
                  <w:rStyle w:val="Hyperlink"/>
                </w:rPr>
                <w:t>Current Assessment of HCT Activities</w:t>
              </w:r>
            </w:hyperlink>
            <w:r w:rsidR="007807B9" w:rsidRPr="00AC407A">
              <w:t xml:space="preserve"> </w:t>
            </w:r>
          </w:p>
        </w:tc>
      </w:tr>
    </w:tbl>
    <w:p w:rsidR="00F93A3B" w:rsidRPr="00AC407A" w:rsidRDefault="00F93A3B">
      <w:pPr>
        <w:spacing w:after="160" w:line="259" w:lineRule="auto"/>
        <w:rPr>
          <w:szCs w:val="22"/>
          <w:u w:val="single"/>
        </w:rPr>
      </w:pPr>
    </w:p>
    <w:p w:rsidR="00681930" w:rsidRPr="00432864" w:rsidRDefault="00432864" w:rsidP="00432864">
      <w:pPr>
        <w:tabs>
          <w:tab w:val="left" w:pos="700"/>
        </w:tabs>
      </w:pPr>
      <w:r>
        <w:t xml:space="preserve">*additional learning collaborative meeting may be added based on needs team learning needs </w:t>
      </w:r>
    </w:p>
    <w:p w:rsidR="00681930" w:rsidRPr="00AC407A" w:rsidRDefault="00681930" w:rsidP="002B3890">
      <w:pPr>
        <w:jc w:val="center"/>
        <w:rPr>
          <w:u w:val="single"/>
        </w:rPr>
      </w:pPr>
    </w:p>
    <w:p w:rsidR="00681930" w:rsidRPr="00AC407A" w:rsidRDefault="00681930" w:rsidP="002B3890">
      <w:pPr>
        <w:jc w:val="center"/>
        <w:rPr>
          <w:u w:val="single"/>
        </w:rPr>
      </w:pPr>
    </w:p>
    <w:p w:rsidR="002D767E" w:rsidRPr="00AC407A" w:rsidRDefault="002D767E" w:rsidP="000A0D88">
      <w:pPr>
        <w:pStyle w:val="BodyText"/>
        <w:ind w:left="0" w:firstLine="0"/>
        <w:rPr>
          <w:b/>
          <w:sz w:val="22"/>
        </w:rPr>
      </w:pPr>
    </w:p>
    <w:p w:rsidR="002D767E" w:rsidRPr="00AC407A" w:rsidRDefault="002D767E" w:rsidP="000A0D88">
      <w:pPr>
        <w:pStyle w:val="BodyText"/>
        <w:ind w:left="0" w:firstLine="0"/>
        <w:rPr>
          <w:b/>
          <w:sz w:val="22"/>
        </w:rPr>
      </w:pPr>
    </w:p>
    <w:sectPr w:rsidR="002D767E" w:rsidRPr="00AC407A" w:rsidSect="002D767E">
      <w:footerReference w:type="default" r:id="rId19"/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FA" w:rsidRDefault="00EC52FA">
      <w:r>
        <w:separator/>
      </w:r>
    </w:p>
  </w:endnote>
  <w:endnote w:type="continuationSeparator" w:id="0">
    <w:p w:rsidR="00EC52FA" w:rsidRDefault="00E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AB" w:rsidRDefault="002B4FAB">
    <w:pPr>
      <w:pStyle w:val="Footer"/>
    </w:pPr>
    <w:r>
      <w:t>4/28/21</w:t>
    </w:r>
  </w:p>
  <w:p w:rsidR="005679EC" w:rsidRDefault="00567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FA" w:rsidRDefault="00EC52FA">
      <w:r>
        <w:separator/>
      </w:r>
    </w:p>
  </w:footnote>
  <w:footnote w:type="continuationSeparator" w:id="0">
    <w:p w:rsidR="00EC52FA" w:rsidRDefault="00E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688"/>
    <w:multiLevelType w:val="hybridMultilevel"/>
    <w:tmpl w:val="3C0C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7CD"/>
    <w:multiLevelType w:val="hybridMultilevel"/>
    <w:tmpl w:val="41060C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EE7"/>
    <w:multiLevelType w:val="hybridMultilevel"/>
    <w:tmpl w:val="DCCCFE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706754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B99"/>
    <w:multiLevelType w:val="hybridMultilevel"/>
    <w:tmpl w:val="980A4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073E2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109"/>
    <w:multiLevelType w:val="hybridMultilevel"/>
    <w:tmpl w:val="793098A6"/>
    <w:lvl w:ilvl="0" w:tplc="A3A8FAF2">
      <w:numFmt w:val="bullet"/>
      <w:lvlText w:val="•"/>
      <w:lvlJc w:val="left"/>
      <w:pPr>
        <w:ind w:left="618" w:hanging="361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 w:tplc="DBC80828">
      <w:numFmt w:val="bullet"/>
      <w:lvlText w:val="–"/>
      <w:lvlJc w:val="left"/>
      <w:pPr>
        <w:ind w:left="133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3D22C286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en-US"/>
      </w:rPr>
    </w:lvl>
    <w:lvl w:ilvl="3" w:tplc="14125BD6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4" w:tplc="776CDB3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5" w:tplc="743A6A1E">
      <w:numFmt w:val="bullet"/>
      <w:lvlText w:val="•"/>
      <w:lvlJc w:val="left"/>
      <w:pPr>
        <w:ind w:left="417" w:hanging="360"/>
      </w:pPr>
      <w:rPr>
        <w:rFonts w:hint="default"/>
        <w:lang w:val="en-US" w:eastAsia="en-US" w:bidi="en-US"/>
      </w:rPr>
    </w:lvl>
    <w:lvl w:ilvl="6" w:tplc="9058E2B4">
      <w:numFmt w:val="bullet"/>
      <w:lvlText w:val="•"/>
      <w:lvlJc w:val="left"/>
      <w:pPr>
        <w:ind w:left="186" w:hanging="360"/>
      </w:pPr>
      <w:rPr>
        <w:rFonts w:hint="default"/>
        <w:lang w:val="en-US" w:eastAsia="en-US" w:bidi="en-US"/>
      </w:rPr>
    </w:lvl>
    <w:lvl w:ilvl="7" w:tplc="CFD6FF82">
      <w:numFmt w:val="bullet"/>
      <w:lvlText w:val="•"/>
      <w:lvlJc w:val="left"/>
      <w:pPr>
        <w:ind w:left="-45" w:hanging="360"/>
      </w:pPr>
      <w:rPr>
        <w:rFonts w:hint="default"/>
        <w:lang w:val="en-US" w:eastAsia="en-US" w:bidi="en-US"/>
      </w:rPr>
    </w:lvl>
    <w:lvl w:ilvl="8" w:tplc="DD7EA5FA">
      <w:numFmt w:val="bullet"/>
      <w:lvlText w:val="•"/>
      <w:lvlJc w:val="left"/>
      <w:pPr>
        <w:ind w:left="-27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90E2743"/>
    <w:multiLevelType w:val="hybridMultilevel"/>
    <w:tmpl w:val="D03E6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C64EB"/>
    <w:multiLevelType w:val="hybridMultilevel"/>
    <w:tmpl w:val="C6DC7A52"/>
    <w:lvl w:ilvl="0" w:tplc="33722B1C">
      <w:numFmt w:val="bullet"/>
      <w:lvlText w:val="•"/>
      <w:lvlJc w:val="left"/>
      <w:pPr>
        <w:ind w:left="755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19CAC310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2" w:tplc="F87A0A9C">
      <w:numFmt w:val="bullet"/>
      <w:lvlText w:val="•"/>
      <w:lvlJc w:val="left"/>
      <w:pPr>
        <w:ind w:left="1211" w:hanging="361"/>
      </w:pPr>
      <w:rPr>
        <w:rFonts w:hint="default"/>
        <w:lang w:val="en-US" w:eastAsia="en-US" w:bidi="en-US"/>
      </w:rPr>
    </w:lvl>
    <w:lvl w:ilvl="3" w:tplc="861E92A0">
      <w:numFmt w:val="bullet"/>
      <w:lvlText w:val="•"/>
      <w:lvlJc w:val="left"/>
      <w:pPr>
        <w:ind w:left="943" w:hanging="361"/>
      </w:pPr>
      <w:rPr>
        <w:rFonts w:hint="default"/>
        <w:lang w:val="en-US" w:eastAsia="en-US" w:bidi="en-US"/>
      </w:rPr>
    </w:lvl>
    <w:lvl w:ilvl="4" w:tplc="A886B982">
      <w:numFmt w:val="bullet"/>
      <w:lvlText w:val="•"/>
      <w:lvlJc w:val="left"/>
      <w:pPr>
        <w:ind w:left="674" w:hanging="361"/>
      </w:pPr>
      <w:rPr>
        <w:rFonts w:hint="default"/>
        <w:lang w:val="en-US" w:eastAsia="en-US" w:bidi="en-US"/>
      </w:rPr>
    </w:lvl>
    <w:lvl w:ilvl="5" w:tplc="68BED28A">
      <w:numFmt w:val="bullet"/>
      <w:lvlText w:val="•"/>
      <w:lvlJc w:val="left"/>
      <w:pPr>
        <w:ind w:left="406" w:hanging="361"/>
      </w:pPr>
      <w:rPr>
        <w:rFonts w:hint="default"/>
        <w:lang w:val="en-US" w:eastAsia="en-US" w:bidi="en-US"/>
      </w:rPr>
    </w:lvl>
    <w:lvl w:ilvl="6" w:tplc="8F66B990">
      <w:numFmt w:val="bullet"/>
      <w:lvlText w:val="•"/>
      <w:lvlJc w:val="left"/>
      <w:pPr>
        <w:ind w:left="137" w:hanging="361"/>
      </w:pPr>
      <w:rPr>
        <w:rFonts w:hint="default"/>
        <w:lang w:val="en-US" w:eastAsia="en-US" w:bidi="en-US"/>
      </w:rPr>
    </w:lvl>
    <w:lvl w:ilvl="7" w:tplc="635AEE42">
      <w:numFmt w:val="bullet"/>
      <w:lvlText w:val="•"/>
      <w:lvlJc w:val="left"/>
      <w:pPr>
        <w:ind w:left="-131" w:hanging="361"/>
      </w:pPr>
      <w:rPr>
        <w:rFonts w:hint="default"/>
        <w:lang w:val="en-US" w:eastAsia="en-US" w:bidi="en-US"/>
      </w:rPr>
    </w:lvl>
    <w:lvl w:ilvl="8" w:tplc="FAC275F2">
      <w:numFmt w:val="bullet"/>
      <w:lvlText w:val="•"/>
      <w:lvlJc w:val="left"/>
      <w:pPr>
        <w:ind w:left="-400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340B4F8E"/>
    <w:multiLevelType w:val="hybridMultilevel"/>
    <w:tmpl w:val="DB840C3C"/>
    <w:lvl w:ilvl="0" w:tplc="E7E03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95763"/>
    <w:multiLevelType w:val="hybridMultilevel"/>
    <w:tmpl w:val="6EF06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23A1C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2CB2"/>
    <w:multiLevelType w:val="hybridMultilevel"/>
    <w:tmpl w:val="DE7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C5B78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487B"/>
    <w:multiLevelType w:val="hybridMultilevel"/>
    <w:tmpl w:val="D2582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2A23"/>
    <w:multiLevelType w:val="hybridMultilevel"/>
    <w:tmpl w:val="66E6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23EE9"/>
    <w:multiLevelType w:val="hybridMultilevel"/>
    <w:tmpl w:val="5802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1FFA"/>
    <w:multiLevelType w:val="hybridMultilevel"/>
    <w:tmpl w:val="07B6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10BC9"/>
    <w:multiLevelType w:val="hybridMultilevel"/>
    <w:tmpl w:val="8902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10DBA"/>
    <w:multiLevelType w:val="hybridMultilevel"/>
    <w:tmpl w:val="F6C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8"/>
  </w:num>
  <w:num w:numId="19">
    <w:abstractNumId w:val="11"/>
  </w:num>
  <w:num w:numId="20">
    <w:abstractNumId w:val="17"/>
  </w:num>
  <w:num w:numId="21">
    <w:abstractNumId w:val="5"/>
  </w:num>
  <w:num w:numId="22">
    <w:abstractNumId w:val="1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0338"/>
    <w:rsid w:val="00024A67"/>
    <w:rsid w:val="00027544"/>
    <w:rsid w:val="0003130D"/>
    <w:rsid w:val="00033EEB"/>
    <w:rsid w:val="0005068F"/>
    <w:rsid w:val="00057F27"/>
    <w:rsid w:val="00095F27"/>
    <w:rsid w:val="00096C44"/>
    <w:rsid w:val="000A0D88"/>
    <w:rsid w:val="000B37D5"/>
    <w:rsid w:val="000C22D6"/>
    <w:rsid w:val="000C3C78"/>
    <w:rsid w:val="000C7EFA"/>
    <w:rsid w:val="000F5056"/>
    <w:rsid w:val="00100D3E"/>
    <w:rsid w:val="00112CFE"/>
    <w:rsid w:val="00113579"/>
    <w:rsid w:val="00123FF2"/>
    <w:rsid w:val="0012403C"/>
    <w:rsid w:val="001258A6"/>
    <w:rsid w:val="001405F1"/>
    <w:rsid w:val="0014331D"/>
    <w:rsid w:val="00150730"/>
    <w:rsid w:val="00153F10"/>
    <w:rsid w:val="00161631"/>
    <w:rsid w:val="001862C9"/>
    <w:rsid w:val="001A6E54"/>
    <w:rsid w:val="001B2123"/>
    <w:rsid w:val="001C3196"/>
    <w:rsid w:val="001C3579"/>
    <w:rsid w:val="001D12F7"/>
    <w:rsid w:val="001D281C"/>
    <w:rsid w:val="001D4A64"/>
    <w:rsid w:val="001F21F7"/>
    <w:rsid w:val="0020658C"/>
    <w:rsid w:val="00207910"/>
    <w:rsid w:val="00214C4C"/>
    <w:rsid w:val="00232C73"/>
    <w:rsid w:val="0024243D"/>
    <w:rsid w:val="00246FC6"/>
    <w:rsid w:val="00256997"/>
    <w:rsid w:val="00256B61"/>
    <w:rsid w:val="002650FF"/>
    <w:rsid w:val="00270817"/>
    <w:rsid w:val="00281029"/>
    <w:rsid w:val="0029307D"/>
    <w:rsid w:val="0029605A"/>
    <w:rsid w:val="002B3890"/>
    <w:rsid w:val="002B4FAB"/>
    <w:rsid w:val="002C3B4F"/>
    <w:rsid w:val="002C512C"/>
    <w:rsid w:val="002C560D"/>
    <w:rsid w:val="002D2981"/>
    <w:rsid w:val="002D767E"/>
    <w:rsid w:val="002E03C4"/>
    <w:rsid w:val="002E3898"/>
    <w:rsid w:val="002E55FF"/>
    <w:rsid w:val="003017DA"/>
    <w:rsid w:val="00307566"/>
    <w:rsid w:val="003110CD"/>
    <w:rsid w:val="003114AB"/>
    <w:rsid w:val="003123A9"/>
    <w:rsid w:val="00320300"/>
    <w:rsid w:val="0032646C"/>
    <w:rsid w:val="00331E26"/>
    <w:rsid w:val="003466CB"/>
    <w:rsid w:val="0036568B"/>
    <w:rsid w:val="00384E8B"/>
    <w:rsid w:val="003A5EEE"/>
    <w:rsid w:val="003B079B"/>
    <w:rsid w:val="003C0D96"/>
    <w:rsid w:val="003E07AB"/>
    <w:rsid w:val="003E0BB6"/>
    <w:rsid w:val="003F0FB1"/>
    <w:rsid w:val="003F49C3"/>
    <w:rsid w:val="0040754E"/>
    <w:rsid w:val="00414A5B"/>
    <w:rsid w:val="00422F4D"/>
    <w:rsid w:val="00432864"/>
    <w:rsid w:val="00433736"/>
    <w:rsid w:val="00435F99"/>
    <w:rsid w:val="00440C57"/>
    <w:rsid w:val="00455E4F"/>
    <w:rsid w:val="00466F7D"/>
    <w:rsid w:val="004710BA"/>
    <w:rsid w:val="004747C2"/>
    <w:rsid w:val="004A0B56"/>
    <w:rsid w:val="004A2FF7"/>
    <w:rsid w:val="004A638C"/>
    <w:rsid w:val="004B5320"/>
    <w:rsid w:val="004C0EB6"/>
    <w:rsid w:val="004D0CC4"/>
    <w:rsid w:val="004D35B3"/>
    <w:rsid w:val="004E77F7"/>
    <w:rsid w:val="00503E57"/>
    <w:rsid w:val="00510B08"/>
    <w:rsid w:val="005166F6"/>
    <w:rsid w:val="00517F9B"/>
    <w:rsid w:val="0052782F"/>
    <w:rsid w:val="00546DA3"/>
    <w:rsid w:val="00547650"/>
    <w:rsid w:val="00552E51"/>
    <w:rsid w:val="00556E16"/>
    <w:rsid w:val="005578EF"/>
    <w:rsid w:val="005630D2"/>
    <w:rsid w:val="00565451"/>
    <w:rsid w:val="005679EC"/>
    <w:rsid w:val="00571219"/>
    <w:rsid w:val="005831B3"/>
    <w:rsid w:val="005925E9"/>
    <w:rsid w:val="005A2E38"/>
    <w:rsid w:val="005B1343"/>
    <w:rsid w:val="005B1665"/>
    <w:rsid w:val="005B224C"/>
    <w:rsid w:val="005C1C3C"/>
    <w:rsid w:val="005C432C"/>
    <w:rsid w:val="005C6AFA"/>
    <w:rsid w:val="005D41AE"/>
    <w:rsid w:val="005E53BF"/>
    <w:rsid w:val="005E798B"/>
    <w:rsid w:val="006032A0"/>
    <w:rsid w:val="00612818"/>
    <w:rsid w:val="006277D0"/>
    <w:rsid w:val="00636BB1"/>
    <w:rsid w:val="0065228F"/>
    <w:rsid w:val="00681930"/>
    <w:rsid w:val="00685F64"/>
    <w:rsid w:val="006878DD"/>
    <w:rsid w:val="006B2B46"/>
    <w:rsid w:val="006C3756"/>
    <w:rsid w:val="006D5EC3"/>
    <w:rsid w:val="0072314C"/>
    <w:rsid w:val="00732203"/>
    <w:rsid w:val="00733969"/>
    <w:rsid w:val="007526BE"/>
    <w:rsid w:val="007807B9"/>
    <w:rsid w:val="007809C2"/>
    <w:rsid w:val="00787092"/>
    <w:rsid w:val="007A79AF"/>
    <w:rsid w:val="007D4FFC"/>
    <w:rsid w:val="007F6A5D"/>
    <w:rsid w:val="008074A6"/>
    <w:rsid w:val="00810BC4"/>
    <w:rsid w:val="00824B4C"/>
    <w:rsid w:val="008320FB"/>
    <w:rsid w:val="00834098"/>
    <w:rsid w:val="00861E8F"/>
    <w:rsid w:val="0087532B"/>
    <w:rsid w:val="00890DAE"/>
    <w:rsid w:val="008938F2"/>
    <w:rsid w:val="008A20E9"/>
    <w:rsid w:val="008A73B9"/>
    <w:rsid w:val="008B4745"/>
    <w:rsid w:val="008D7392"/>
    <w:rsid w:val="008D7E4D"/>
    <w:rsid w:val="008E1F4F"/>
    <w:rsid w:val="008E3BEE"/>
    <w:rsid w:val="008F1264"/>
    <w:rsid w:val="00901C11"/>
    <w:rsid w:val="00913DAC"/>
    <w:rsid w:val="009251B4"/>
    <w:rsid w:val="00937CD0"/>
    <w:rsid w:val="009631AC"/>
    <w:rsid w:val="0099348E"/>
    <w:rsid w:val="009A1B1D"/>
    <w:rsid w:val="009B348D"/>
    <w:rsid w:val="009E0F6B"/>
    <w:rsid w:val="009E458E"/>
    <w:rsid w:val="00A155CB"/>
    <w:rsid w:val="00A4747A"/>
    <w:rsid w:val="00A56ED0"/>
    <w:rsid w:val="00A570AE"/>
    <w:rsid w:val="00A63077"/>
    <w:rsid w:val="00A65A1A"/>
    <w:rsid w:val="00A72105"/>
    <w:rsid w:val="00A8784A"/>
    <w:rsid w:val="00A92408"/>
    <w:rsid w:val="00A97539"/>
    <w:rsid w:val="00AA0983"/>
    <w:rsid w:val="00AA2CCF"/>
    <w:rsid w:val="00AA7418"/>
    <w:rsid w:val="00AB468E"/>
    <w:rsid w:val="00AC31FE"/>
    <w:rsid w:val="00AC407A"/>
    <w:rsid w:val="00AD43DD"/>
    <w:rsid w:val="00AD447F"/>
    <w:rsid w:val="00AE6057"/>
    <w:rsid w:val="00AE7993"/>
    <w:rsid w:val="00AF13B4"/>
    <w:rsid w:val="00B16954"/>
    <w:rsid w:val="00B32303"/>
    <w:rsid w:val="00B64B5B"/>
    <w:rsid w:val="00B71943"/>
    <w:rsid w:val="00B71D4A"/>
    <w:rsid w:val="00B7432B"/>
    <w:rsid w:val="00B80F11"/>
    <w:rsid w:val="00BA5179"/>
    <w:rsid w:val="00BE0CDB"/>
    <w:rsid w:val="00C15FC0"/>
    <w:rsid w:val="00C22812"/>
    <w:rsid w:val="00C30F52"/>
    <w:rsid w:val="00C52FA4"/>
    <w:rsid w:val="00C60328"/>
    <w:rsid w:val="00C81008"/>
    <w:rsid w:val="00C853E0"/>
    <w:rsid w:val="00C944A7"/>
    <w:rsid w:val="00CA756B"/>
    <w:rsid w:val="00CE6F79"/>
    <w:rsid w:val="00D40F49"/>
    <w:rsid w:val="00D45B96"/>
    <w:rsid w:val="00D470FD"/>
    <w:rsid w:val="00D5437C"/>
    <w:rsid w:val="00D602C3"/>
    <w:rsid w:val="00DA153E"/>
    <w:rsid w:val="00DA1CB5"/>
    <w:rsid w:val="00DA68EC"/>
    <w:rsid w:val="00DC2E5E"/>
    <w:rsid w:val="00E2298C"/>
    <w:rsid w:val="00E31BC7"/>
    <w:rsid w:val="00E35EEF"/>
    <w:rsid w:val="00E36BFB"/>
    <w:rsid w:val="00E5382E"/>
    <w:rsid w:val="00E54520"/>
    <w:rsid w:val="00E57FCD"/>
    <w:rsid w:val="00E6156D"/>
    <w:rsid w:val="00E74252"/>
    <w:rsid w:val="00E77E83"/>
    <w:rsid w:val="00E81185"/>
    <w:rsid w:val="00E82C6E"/>
    <w:rsid w:val="00E8618D"/>
    <w:rsid w:val="00EB1864"/>
    <w:rsid w:val="00EB7031"/>
    <w:rsid w:val="00EB7187"/>
    <w:rsid w:val="00EC52FA"/>
    <w:rsid w:val="00ED348A"/>
    <w:rsid w:val="00ED77C1"/>
    <w:rsid w:val="00EE57ED"/>
    <w:rsid w:val="00EF7F2E"/>
    <w:rsid w:val="00F03462"/>
    <w:rsid w:val="00F2558F"/>
    <w:rsid w:val="00F4641F"/>
    <w:rsid w:val="00F517F1"/>
    <w:rsid w:val="00F52FAD"/>
    <w:rsid w:val="00F53BD2"/>
    <w:rsid w:val="00F7176D"/>
    <w:rsid w:val="00F90B4E"/>
    <w:rsid w:val="00F93A3B"/>
    <w:rsid w:val="00F93B66"/>
    <w:rsid w:val="00FA7BAC"/>
    <w:rsid w:val="00FB5D95"/>
    <w:rsid w:val="00FE1D4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0A0D88"/>
    <w:pPr>
      <w:widowControl w:val="0"/>
      <w:autoSpaceDE w:val="0"/>
      <w:autoSpaceDN w:val="0"/>
      <w:spacing w:before="6"/>
      <w:ind w:left="618" w:hanging="360"/>
      <w:outlineLvl w:val="0"/>
    </w:pPr>
    <w:rPr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0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320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861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1E8F"/>
  </w:style>
  <w:style w:type="paragraph" w:styleId="Title">
    <w:name w:val="Title"/>
    <w:basedOn w:val="Normal"/>
    <w:next w:val="Normal"/>
    <w:link w:val="TitleChar"/>
    <w:uiPriority w:val="10"/>
    <w:qFormat/>
    <w:rsid w:val="003656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orfulList-Accent11">
    <w:name w:val="Colorful List - Accent 11"/>
    <w:basedOn w:val="Normal"/>
    <w:uiPriority w:val="99"/>
    <w:qFormat/>
    <w:rsid w:val="00EE57ED"/>
    <w:pPr>
      <w:ind w:left="720"/>
      <w:contextualSpacing/>
    </w:pPr>
    <w:rPr>
      <w:rFonts w:ascii="Cambria" w:eastAsia="Cambria" w:hAnsi="Cambria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C6"/>
    <w:rPr>
      <w:rFonts w:ascii="Segoe UI" w:eastAsia="Times New Roman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F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A0D8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0D88"/>
    <w:pPr>
      <w:widowControl w:val="0"/>
      <w:autoSpaceDE w:val="0"/>
      <w:autoSpaceDN w:val="0"/>
      <w:ind w:left="1338" w:hanging="36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0D8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transition.org/6ce/?leaving-current-assessment" TargetMode="External"/><Relationship Id="rId13" Type="http://schemas.openxmlformats.org/officeDocument/2006/relationships/hyperlink" Target="https://www.gottransition.org/resource/?turning-18-english" TargetMode="External"/><Relationship Id="rId18" Type="http://schemas.openxmlformats.org/officeDocument/2006/relationships/hyperlink" Target="https://www.gottransition.org/6ce/?leaving-current-assessme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ttransition.org/6ce/?leaving-ImplGuide-planning" TargetMode="External"/><Relationship Id="rId17" Type="http://schemas.openxmlformats.org/officeDocument/2006/relationships/hyperlink" Target="https://www.gottransition.org/6ce/leaving-feedback-survey-you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ttransition.org/6ce/?leaving-ImplGuide-comple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ttransition.org/six-core-elements/transitioning-youth-to-adult/transfer-completio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ttransition.org/6ce/?leaving-readiness-assessment-youth" TargetMode="External"/><Relationship Id="rId10" Type="http://schemas.openxmlformats.org/officeDocument/2006/relationships/hyperlink" Target="https://www.gottransition.org/six-core-elements/transitioning-youth-to-adult/transfer-of-care.cf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ttransition.org/six-core-elements/transitioning-youth-to-adult/transition-planning.cfm" TargetMode="External"/><Relationship Id="rId14" Type="http://schemas.openxmlformats.org/officeDocument/2006/relationships/hyperlink" Target="https://www.gottransition.org/6ce/?leaving-ImplGuide-transfer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45BC-8EC5-4334-A16E-85E3857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 Dettling</cp:lastModifiedBy>
  <cp:revision>3</cp:revision>
  <cp:lastPrinted>2021-03-26T10:25:00Z</cp:lastPrinted>
  <dcterms:created xsi:type="dcterms:W3CDTF">2021-05-14T12:43:00Z</dcterms:created>
  <dcterms:modified xsi:type="dcterms:W3CDTF">2021-05-18T13:49:00Z</dcterms:modified>
</cp:coreProperties>
</file>