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5E" w:rsidRDefault="00D3575E" w:rsidP="00D3575E">
      <w:bookmarkStart w:id="0" w:name="_GoBack"/>
      <w:bookmarkEnd w:id="0"/>
      <w:r>
        <w:t>To PCMH Kids Cohort 3 practices,</w:t>
      </w:r>
    </w:p>
    <w:p w:rsidR="00D3575E" w:rsidRDefault="00D3575E" w:rsidP="00D3575E"/>
    <w:p w:rsidR="00D3575E" w:rsidRDefault="00D3575E" w:rsidP="00D3575E">
      <w:r>
        <w:t xml:space="preserve">Congratulations on completing Year 1 in the PCMH KIDS program and starting Year 2 (7/1/20-6/30/21), during which your practice is eligible to earn an incentive payment ($0.50 </w:t>
      </w:r>
      <w:proofErr w:type="spellStart"/>
      <w:r>
        <w:t>pmpm</w:t>
      </w:r>
      <w:proofErr w:type="spellEnd"/>
      <w:r>
        <w:t xml:space="preserve">) based on meeting performance targets looking at clinical quality, customer experience and ED utilization. </w:t>
      </w:r>
    </w:p>
    <w:p w:rsidR="00D3575E" w:rsidRDefault="00D3575E" w:rsidP="00D3575E"/>
    <w:p w:rsidR="00D3575E" w:rsidRDefault="00D3575E" w:rsidP="00D3575E">
      <w:r>
        <w:t xml:space="preserve">We understand that COVID-19 has had a significant impact on your practice, patients and families and will continue to present challenges. We anticipate that COVID-19 will have an impact on the ability of your practice to meet performance targets (Clinical Quality measures, ED Utilization and Customer Experience) and some of the Service Delivery Requirements that are outlined in the Milestone Document for Year 2. </w:t>
      </w:r>
    </w:p>
    <w:p w:rsidR="00D3575E" w:rsidRDefault="00D3575E" w:rsidP="00D3575E"/>
    <w:p w:rsidR="00D3575E" w:rsidRDefault="00D3575E" w:rsidP="00D3575E">
      <w:r>
        <w:t xml:space="preserve">We are happy to announce that the Health Plans have unanimously approved a one-time change to the incentive eligibility requirements and payment schedule.  For 2020-21, the incentive eligibility requirements will focus on assisting school aged children (4-6-year-old) catch up with immunizations with a specific focus on M-M-R. </w:t>
      </w:r>
    </w:p>
    <w:p w:rsidR="00D3575E" w:rsidRDefault="00D3575E" w:rsidP="00D3575E"/>
    <w:p w:rsidR="00D3575E" w:rsidRDefault="00D3575E" w:rsidP="00D3575E">
      <w:r>
        <w:t>Components of the revised 2020-2021 Performance Incentive plan include:</w:t>
      </w:r>
    </w:p>
    <w:p w:rsidR="00D3575E" w:rsidRDefault="00D3575E" w:rsidP="00D3575E">
      <w:pPr>
        <w:rPr>
          <w:b/>
          <w:bCs/>
          <w:u w:val="single"/>
        </w:rPr>
      </w:pPr>
      <w:r>
        <w:rPr>
          <w:b/>
          <w:bCs/>
          <w:u w:val="single"/>
        </w:rPr>
        <w:t xml:space="preserve">Customer Experience Survey </w:t>
      </w:r>
    </w:p>
    <w:p w:rsidR="00D3575E" w:rsidRDefault="00D3575E" w:rsidP="00D3575E">
      <w:pPr>
        <w:pStyle w:val="ListParagraph"/>
        <w:numPr>
          <w:ilvl w:val="0"/>
          <w:numId w:val="1"/>
        </w:numPr>
      </w:pPr>
      <w:r>
        <w:t xml:space="preserve">Defer CAHPS survey for 2020-21; </w:t>
      </w:r>
    </w:p>
    <w:p w:rsidR="00D3575E" w:rsidRDefault="00D3575E" w:rsidP="00D3575E">
      <w:pPr>
        <w:pStyle w:val="ListParagraph"/>
        <w:numPr>
          <w:ilvl w:val="0"/>
          <w:numId w:val="1"/>
        </w:numPr>
      </w:pPr>
      <w:r>
        <w:t xml:space="preserve">Practices will obtain patient/family input by outreaching to small sample of families who might find it difficult to come into the practice based on medical or social health related needs.  CTC will provide you with a sample survey that you can use / modify based on your practice needs.  Practices are asked to use the information obtained from small sample of parents to help inform your practice as develop your plan to assist children/families with getting needed immunizations; </w:t>
      </w:r>
    </w:p>
    <w:p w:rsidR="00D3575E" w:rsidRDefault="00D3575E" w:rsidP="00D3575E">
      <w:pPr>
        <w:pStyle w:val="ListParagraph"/>
        <w:numPr>
          <w:ilvl w:val="0"/>
          <w:numId w:val="1"/>
        </w:numPr>
      </w:pPr>
      <w:r>
        <w:t xml:space="preserve">Practices will work with your system of care around implementing a customer experience survey consistent with NCQA PCMH requirements; </w:t>
      </w:r>
    </w:p>
    <w:p w:rsidR="00D3575E" w:rsidRDefault="00D3575E" w:rsidP="00D3575E">
      <w:pPr>
        <w:rPr>
          <w:b/>
          <w:bCs/>
          <w:u w:val="single"/>
        </w:rPr>
      </w:pPr>
      <w:r>
        <w:rPr>
          <w:b/>
          <w:bCs/>
          <w:u w:val="single"/>
        </w:rPr>
        <w:t xml:space="preserve">Clinical Quality </w:t>
      </w:r>
    </w:p>
    <w:p w:rsidR="00D3575E" w:rsidRDefault="00D3575E" w:rsidP="00D3575E">
      <w:pPr>
        <w:pStyle w:val="ListParagraph"/>
        <w:numPr>
          <w:ilvl w:val="0"/>
          <w:numId w:val="2"/>
        </w:numPr>
      </w:pPr>
      <w:r>
        <w:t xml:space="preserve"> Consistent with OHIC 2020-21 guidelines, practices will be asked to “report only” on the OHIC defined clinical quality measures (BMI with counseling, Developmental Screening, Well Child Adolescent and Lead Screening*): report due to OHIC 10/15/20; report to CTC/PCMH KIDS quarterly starting 7/15/20; </w:t>
      </w:r>
    </w:p>
    <w:p w:rsidR="00D3575E" w:rsidRDefault="00D3575E" w:rsidP="00D3575E">
      <w:pPr>
        <w:pStyle w:val="ListParagraph"/>
        <w:numPr>
          <w:ilvl w:val="0"/>
          <w:numId w:val="2"/>
        </w:numPr>
      </w:pPr>
      <w:r>
        <w:t xml:space="preserve">Report on M-M-R performance (4-6-year-old) using KIDS NET data: </w:t>
      </w:r>
    </w:p>
    <w:p w:rsidR="00D3575E" w:rsidRDefault="00D3575E" w:rsidP="00D3575E">
      <w:pPr>
        <w:pStyle w:val="ListParagraph"/>
      </w:pPr>
      <w:r>
        <w:t xml:space="preserve">For July 15: report on M-M-R performance 7/1/19-6/30/20; </w:t>
      </w:r>
    </w:p>
    <w:p w:rsidR="00D3575E" w:rsidRDefault="00D3575E" w:rsidP="00D3575E">
      <w:pPr>
        <w:pStyle w:val="ListParagraph"/>
      </w:pPr>
      <w:r>
        <w:t>For Oct 15: report on M-M-R performance 10/1/19-9/30/20;</w:t>
      </w:r>
    </w:p>
    <w:p w:rsidR="00D3575E" w:rsidRDefault="00D3575E" w:rsidP="00D3575E">
      <w:pPr>
        <w:pStyle w:val="ListParagraph"/>
      </w:pPr>
      <w:r>
        <w:t>For January 15, 2021: report on M-M-R performance 1/1/20-12/31/20.</w:t>
      </w:r>
    </w:p>
    <w:p w:rsidR="00D3575E" w:rsidRDefault="00D3575E" w:rsidP="00D3575E">
      <w:pPr>
        <w:pStyle w:val="ListParagraph"/>
      </w:pPr>
      <w:r>
        <w:t>Target**: achieve 90% of M-M-R performance comparting 1/1/19-12/31/19 to 1/1/20-12/31/20</w:t>
      </w:r>
    </w:p>
    <w:p w:rsidR="00D3575E" w:rsidRDefault="00D3575E" w:rsidP="00D3575E">
      <w:pPr>
        <w:pStyle w:val="ListParagraph"/>
      </w:pPr>
    </w:p>
    <w:p w:rsidR="00D3575E" w:rsidRDefault="00D3575E" w:rsidP="00D3575E">
      <w:pPr>
        <w:pStyle w:val="ListParagraph"/>
      </w:pPr>
      <w:r>
        <w:t>*Anticipate that practices will report Lead Screening using KIDS NET data (OHIC guidance will be forthcoming);</w:t>
      </w:r>
    </w:p>
    <w:p w:rsidR="00D3575E" w:rsidRDefault="00D3575E" w:rsidP="00D3575E">
      <w:pPr>
        <w:pStyle w:val="ListParagraph"/>
      </w:pPr>
      <w:r>
        <w:t xml:space="preserve">**CTC/PCMH KIDS is working with Rhode Island Department of Health to assist practices with obtaining this historical M-M-R practice report for 12/31/19. </w:t>
      </w:r>
    </w:p>
    <w:p w:rsidR="00D3575E" w:rsidRDefault="00D3575E" w:rsidP="00D3575E">
      <w:pPr>
        <w:rPr>
          <w:b/>
          <w:bCs/>
          <w:u w:val="single"/>
        </w:rPr>
      </w:pPr>
      <w:r>
        <w:rPr>
          <w:b/>
          <w:bCs/>
          <w:u w:val="single"/>
        </w:rPr>
        <w:t xml:space="preserve">ED Utilization  </w:t>
      </w:r>
    </w:p>
    <w:p w:rsidR="00D3575E" w:rsidRDefault="00D3575E" w:rsidP="00D3575E">
      <w:pPr>
        <w:pStyle w:val="ListParagraph"/>
        <w:numPr>
          <w:ilvl w:val="0"/>
          <w:numId w:val="3"/>
        </w:numPr>
      </w:pPr>
      <w:r>
        <w:t xml:space="preserve">Defer using ED Utilization Performance Report for Contract Adjudication (4/15/21). </w:t>
      </w:r>
    </w:p>
    <w:p w:rsidR="00D3575E" w:rsidRDefault="00D3575E" w:rsidP="00D3575E">
      <w:pPr>
        <w:rPr>
          <w:b/>
          <w:bCs/>
          <w:u w:val="single"/>
        </w:rPr>
      </w:pPr>
      <w:r>
        <w:rPr>
          <w:b/>
          <w:bCs/>
          <w:u w:val="single"/>
        </w:rPr>
        <w:lastRenderedPageBreak/>
        <w:t>PCMH KIDS Cohort 3 Incentive Payment Plan and Schedule for meeting Immunization Performance Standard</w:t>
      </w:r>
    </w:p>
    <w:p w:rsidR="00D3575E" w:rsidRDefault="00D3575E" w:rsidP="00D3575E">
      <w:pPr>
        <w:pStyle w:val="ListParagraph"/>
        <w:numPr>
          <w:ilvl w:val="0"/>
          <w:numId w:val="4"/>
        </w:numPr>
        <w:rPr>
          <w:u w:val="single"/>
        </w:rPr>
      </w:pPr>
      <w:r>
        <w:rPr>
          <w:u w:val="single"/>
        </w:rPr>
        <w:t>1</w:t>
      </w:r>
      <w:r>
        <w:rPr>
          <w:u w:val="single"/>
          <w:vertAlign w:val="superscript"/>
        </w:rPr>
        <w:t>st</w:t>
      </w:r>
      <w:r>
        <w:rPr>
          <w:u w:val="single"/>
        </w:rPr>
        <w:t xml:space="preserve"> Incentive Payment:</w:t>
      </w:r>
      <w:r>
        <w:t xml:space="preserve"> Health plans will provide practices with 75% upfront incentive payment ($0.375 </w:t>
      </w:r>
      <w:proofErr w:type="spellStart"/>
      <w:r>
        <w:t>pmpm</w:t>
      </w:r>
      <w:proofErr w:type="spellEnd"/>
      <w:r>
        <w:t xml:space="preserve">) by August 31, 2020; Health plans will provide practices with second payment ($0.125 </w:t>
      </w:r>
      <w:proofErr w:type="spellStart"/>
      <w:r>
        <w:t>pmpm</w:t>
      </w:r>
      <w:proofErr w:type="spellEnd"/>
      <w:r>
        <w:t xml:space="preserve">) for meeting performance target, with payment due to practices within 60 days of receiving performance information from CTC (anticipated date: March 31, 2021). </w:t>
      </w:r>
    </w:p>
    <w:p w:rsidR="00D3575E" w:rsidRDefault="00D3575E" w:rsidP="00D3575E">
      <w:pPr>
        <w:pStyle w:val="ListParagraph"/>
        <w:rPr>
          <w:u w:val="single"/>
        </w:rPr>
      </w:pPr>
      <w:r>
        <w:t xml:space="preserve">Upfront incentive payment is meant to provide practices with immediate financial support so practices can successfully implement “catch up” immunization plans; </w:t>
      </w:r>
    </w:p>
    <w:p w:rsidR="00D3575E" w:rsidRDefault="00D3575E" w:rsidP="00D3575E">
      <w:pPr>
        <w:pStyle w:val="ListParagraph"/>
        <w:numPr>
          <w:ilvl w:val="0"/>
          <w:numId w:val="4"/>
        </w:numPr>
        <w:rPr>
          <w:u w:val="single"/>
        </w:rPr>
      </w:pPr>
      <w:r>
        <w:rPr>
          <w:u w:val="single"/>
        </w:rPr>
        <w:t>2</w:t>
      </w:r>
      <w:r>
        <w:rPr>
          <w:u w:val="single"/>
          <w:vertAlign w:val="superscript"/>
        </w:rPr>
        <w:t>nd</w:t>
      </w:r>
      <w:r>
        <w:rPr>
          <w:u w:val="single"/>
        </w:rPr>
        <w:t xml:space="preserve"> Incentive Payment based on Performance Standard:</w:t>
      </w:r>
      <w:r>
        <w:t xml:space="preserve"> Practice will be eligible for 25% of incentive payment ($0.125 </w:t>
      </w:r>
      <w:proofErr w:type="spellStart"/>
      <w:r>
        <w:t>pmpm</w:t>
      </w:r>
      <w:proofErr w:type="spellEnd"/>
      <w:r>
        <w:t xml:space="preserve">) if practice* reaches MMR threshold for school aged children (4-6 age); KIDS NET MMR report 12/31/19 compared with 12/31/20; target = 90%  </w:t>
      </w:r>
    </w:p>
    <w:p w:rsidR="00D3575E" w:rsidRDefault="00D3575E" w:rsidP="00D3575E">
      <w:pPr>
        <w:ind w:left="720"/>
        <w:rPr>
          <w:u w:val="single"/>
        </w:rPr>
      </w:pPr>
      <w:r>
        <w:rPr>
          <w:u w:val="single"/>
        </w:rPr>
        <w:t>*Recommend Hasbro Adolescent will be asked to measure adolescents receiving 2</w:t>
      </w:r>
      <w:r>
        <w:rPr>
          <w:u w:val="single"/>
          <w:vertAlign w:val="superscript"/>
        </w:rPr>
        <w:t>nd</w:t>
      </w:r>
      <w:r>
        <w:rPr>
          <w:u w:val="single"/>
        </w:rPr>
        <w:t xml:space="preserve"> MMR</w:t>
      </w:r>
    </w:p>
    <w:p w:rsidR="00D3575E" w:rsidRDefault="00D3575E" w:rsidP="00D3575E"/>
    <w:p w:rsidR="00D3575E" w:rsidRDefault="00D3575E" w:rsidP="00D3575E">
      <w:r>
        <w:t xml:space="preserve">The following documents have been updated to reflect Year 2 Service Delivery Requirements (Milestone Document) and Payment Schedule (Rate Sheet): </w:t>
      </w:r>
    </w:p>
    <w:p w:rsidR="00D3575E" w:rsidRDefault="00D3575E" w:rsidP="00D3575E">
      <w:r>
        <w:rPr>
          <w:b/>
          <w:bCs/>
          <w:u w:val="single"/>
        </w:rPr>
        <w:t>Rate sheet:</w:t>
      </w:r>
      <w:r>
        <w:t xml:space="preserve"> CTC/PCMH Kids has updated the </w:t>
      </w:r>
      <w:hyperlink r:id="rId5" w:history="1">
        <w:r>
          <w:rPr>
            <w:rStyle w:val="Hyperlink"/>
            <w:color w:val="auto"/>
          </w:rPr>
          <w:t>PCMH Kids Cohort 3 Rate Sheet</w:t>
        </w:r>
      </w:hyperlink>
      <w:r>
        <w:t xml:space="preserve"> </w:t>
      </w:r>
    </w:p>
    <w:p w:rsidR="00D3575E" w:rsidRDefault="00D3575E" w:rsidP="00D3575E">
      <w:r>
        <w:rPr>
          <w:b/>
          <w:bCs/>
          <w:u w:val="single"/>
        </w:rPr>
        <w:t>Practice Service Delivery Requirements:</w:t>
      </w:r>
      <w:r>
        <w:t xml:space="preserve"> CTC/PCMH Kids has updated the Service Delivery Requirements that are summarized on the </w:t>
      </w:r>
      <w:hyperlink r:id="rId6" w:history="1">
        <w:r>
          <w:rPr>
            <w:rStyle w:val="Hyperlink"/>
            <w:color w:val="auto"/>
          </w:rPr>
          <w:t>Milestone Document</w:t>
        </w:r>
      </w:hyperlink>
      <w:r>
        <w:t xml:space="preserve">; </w:t>
      </w:r>
    </w:p>
    <w:p w:rsidR="00D3575E" w:rsidRDefault="00D3575E" w:rsidP="00D3575E">
      <w:pPr>
        <w:rPr>
          <w:b/>
          <w:bCs/>
          <w:u w:val="single"/>
        </w:rPr>
      </w:pPr>
    </w:p>
    <w:p w:rsidR="00D3575E" w:rsidRDefault="00D3575E" w:rsidP="00D3575E">
      <w:r>
        <w:rPr>
          <w:b/>
          <w:bCs/>
          <w:u w:val="single"/>
        </w:rPr>
        <w:t xml:space="preserve">Pediatric Advisory Committee to the Governor’s Task Force: </w:t>
      </w:r>
      <w:r>
        <w:t xml:space="preserve">Both Pat and Beth have been appointed to the Pediatric Advisory Committee which has been charged with making recommendations to the Governor’s Task Force on financial needs of pediatric practices and health care needs of children and families. We will keep you posted on the outcomes of this work.  Stay tuned. </w:t>
      </w:r>
    </w:p>
    <w:p w:rsidR="00D3575E" w:rsidRDefault="00D3575E" w:rsidP="00D3575E"/>
    <w:p w:rsidR="00D3575E" w:rsidRDefault="00D3575E" w:rsidP="00D3575E">
      <w:r>
        <w:t>If you have any questions or concerns, please let us know.</w:t>
      </w:r>
    </w:p>
    <w:p w:rsidR="00D3575E" w:rsidRDefault="00D3575E" w:rsidP="00D3575E">
      <w:r>
        <w:t>Pat, Beth, Deb, Pano &amp; Susanne with signatures</w:t>
      </w:r>
    </w:p>
    <w:p w:rsidR="00F06783" w:rsidRDefault="00F06783"/>
    <w:sectPr w:rsidR="00F0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20DF"/>
    <w:multiLevelType w:val="hybridMultilevel"/>
    <w:tmpl w:val="F27653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3C00DE"/>
    <w:multiLevelType w:val="hybridMultilevel"/>
    <w:tmpl w:val="CC6CFE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6A65F3"/>
    <w:multiLevelType w:val="hybridMultilevel"/>
    <w:tmpl w:val="F33E48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24667E"/>
    <w:multiLevelType w:val="hybridMultilevel"/>
    <w:tmpl w:val="19F2B0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5E"/>
    <w:rsid w:val="001669A8"/>
    <w:rsid w:val="00CE5C8F"/>
    <w:rsid w:val="00D3575E"/>
    <w:rsid w:val="00F0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D302C-51A6-4A38-B19E-5823C4E3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7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75E"/>
    <w:rPr>
      <w:color w:val="0563C1"/>
      <w:u w:val="single"/>
    </w:rPr>
  </w:style>
  <w:style w:type="paragraph" w:styleId="ListParagraph">
    <w:name w:val="List Paragraph"/>
    <w:basedOn w:val="Normal"/>
    <w:uiPriority w:val="34"/>
    <w:qFormat/>
    <w:rsid w:val="00D3575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ri.org/sites/default/files/uploads/2019-2022%20July%20%20PCMH%20Kids%20Practice%20Milestone%20Document%20FINAL%206%2025%2020.docx" TargetMode="External"/><Relationship Id="rId5" Type="http://schemas.openxmlformats.org/officeDocument/2006/relationships/hyperlink" Target="https://www.ctc-ri.org/sites/default/files/uploads/PCMH%20Kids%20July%202019%20Rate%20Sheet%20updated%206%2016%202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2</cp:revision>
  <dcterms:created xsi:type="dcterms:W3CDTF">2020-06-30T14:36:00Z</dcterms:created>
  <dcterms:modified xsi:type="dcterms:W3CDTF">2020-06-30T14:36:00Z</dcterms:modified>
</cp:coreProperties>
</file>